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jc w:val="center"/>
        <w:rPr/>
      </w:pPr>
      <w:r w:rsidDel="00000000" w:rsidR="00000000" w:rsidRPr="00000000">
        <w:rPr/>
        <w:drawing>
          <wp:inline distB="0" distT="0" distL="0" distR="0">
            <wp:extent cx="3959764" cy="1353965"/>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959764" cy="1353965"/>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jc w:val="cente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spacing w:after="80" w:line="240" w:lineRule="auto"/>
        <w:jc w:val="center"/>
        <w:rPr>
          <w:rFonts w:ascii="Anek Odia" w:cs="Anek Odia" w:eastAsia="Anek Odia" w:hAnsi="Anek Odia"/>
          <w:b w:val="1"/>
          <w:bCs w:val="1"/>
          <w:color w:val="095778"/>
          <w:sz w:val="48"/>
          <w:szCs w:val="48"/>
        </w:rPr>
      </w:pPr>
      <w:r w:rsidDel="00000000" w:rsidR="00000000" w:rsidRPr="00000000">
        <w:rPr>
          <w:rFonts w:ascii="Anek Odia" w:cs="Anek Odia" w:eastAsia="Anek Odia" w:hAnsi="Anek Odia"/>
          <w:b w:val="1"/>
          <w:bCs w:val="1"/>
          <w:color w:val="095778"/>
          <w:sz w:val="48"/>
          <w:szCs w:val="48"/>
          <w:rtl w:val="0"/>
        </w:rPr>
        <w:t xml:space="preserve">DISSEMINATION AND </w:t>
      </w:r>
    </w:p>
    <w:p w:rsidR="00000000" w:rsidDel="00000000" w:rsidP="00000000" w:rsidRDefault="00000000" w:rsidRPr="00000000" w14:paraId="0000000C">
      <w:pPr>
        <w:spacing w:after="80" w:line="240" w:lineRule="auto"/>
        <w:jc w:val="center"/>
        <w:rPr>
          <w:rFonts w:ascii="Anek Odia" w:cs="Anek Odia" w:eastAsia="Anek Odia" w:hAnsi="Anek Odia"/>
          <w:b w:val="1"/>
          <w:bCs w:val="1"/>
          <w:color w:val="095778"/>
          <w:sz w:val="48"/>
          <w:szCs w:val="48"/>
        </w:rPr>
      </w:pPr>
      <w:r w:rsidDel="00000000" w:rsidR="00000000" w:rsidRPr="00000000">
        <w:rPr>
          <w:rFonts w:ascii="Anek Odia" w:cs="Anek Odia" w:eastAsia="Anek Odia" w:hAnsi="Anek Odia"/>
          <w:b w:val="1"/>
          <w:bCs w:val="1"/>
          <w:color w:val="095778"/>
          <w:sz w:val="48"/>
          <w:szCs w:val="48"/>
          <w:rtl w:val="0"/>
        </w:rPr>
        <w:t xml:space="preserve">COMMUNICATION ACTIVITY FORM</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Fonts w:ascii="Anek Odia Light" w:cs="Anek Odia Light" w:eastAsia="Anek Odia Light" w:hAnsi="Anek Odia Light"/>
          <w:b w:val="0"/>
          <w:bCs w:val="0"/>
          <w:i w:val="0"/>
          <w:iCs w:val="0"/>
          <w:smallCaps w:val="0"/>
          <w:strike w:val="0"/>
          <w:color w:val="000000"/>
          <w:sz w:val="22"/>
          <w:szCs w:val="22"/>
          <w:u w:val="none"/>
          <w:shd w:fill="auto" w:val="clear"/>
          <w:vertAlign w:val="baseline"/>
          <w:rtl w:val="0"/>
        </w:rPr>
        <w:t xml:space="preserve">This project has been 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Fonts w:ascii="Anek Odia Light" w:cs="Anek Odia Light" w:eastAsia="Anek Odia Light" w:hAnsi="Anek Odia Light"/>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Anek Odia Light" w:cs="Anek Odia Light" w:eastAsia="Anek Odia Light" w:hAnsi="Anek Odia Light"/>
          <w:b w:val="1"/>
          <w:bCs w:val="1"/>
          <w:i w:val="0"/>
          <w:iCs w:val="0"/>
          <w:smallCaps w:val="0"/>
          <w:strike w:val="0"/>
          <w:color w:val="000000"/>
          <w:sz w:val="22"/>
          <w:szCs w:val="22"/>
          <w:u w:val="none"/>
          <w:shd w:fill="auto" w:val="clear"/>
          <w:vertAlign w:val="baseline"/>
          <w:rtl w:val="0"/>
        </w:rPr>
        <w:t xml:space="preserve">V-EXCHANGE</w:t>
      </w:r>
      <w:r w:rsidDel="00000000" w:rsidR="00000000" w:rsidRPr="00000000">
        <w:rPr>
          <w:rFonts w:ascii="Anek Odia Light" w:cs="Anek Odia Light" w:eastAsia="Anek Odia Light" w:hAnsi="Anek Odia Light"/>
          <w:b w:val="0"/>
          <w:bCs w:val="0"/>
          <w:i w:val="0"/>
          <w:iCs w:val="0"/>
          <w:smallCaps w:val="0"/>
          <w:strike w:val="0"/>
          <w:color w:val="000000"/>
          <w:sz w:val="22"/>
          <w:szCs w:val="22"/>
          <w:u w:val="none"/>
          <w:shd w:fill="auto" w:val="clear"/>
          <w:vertAlign w:val="baseline"/>
          <w:rtl w:val="0"/>
        </w:rPr>
        <w:t xml:space="preserve"> - VIRTUAL EXCHANGE FOR GLOBAL CITIZENSHIP AND DIGITAL SKILLS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Fonts w:ascii="Anek Odia Light" w:cs="Anek Odia Light" w:eastAsia="Anek Odia Light" w:hAnsi="Anek Odia Light"/>
          <w:b w:val="0"/>
          <w:bCs w:val="0"/>
          <w:i w:val="0"/>
          <w:iCs w:val="0"/>
          <w:smallCaps w:val="0"/>
          <w:strike w:val="0"/>
          <w:color w:val="000000"/>
          <w:sz w:val="22"/>
          <w:szCs w:val="22"/>
          <w:u w:val="none"/>
          <w:shd w:fill="auto" w:val="clear"/>
          <w:vertAlign w:val="baseline"/>
          <w:rtl w:val="0"/>
        </w:rPr>
        <w:t xml:space="preserve">Project: 101252513 - ERASMUS-EDU-2025-VIRT-EXCH-WB</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9072.0" w:type="dxa"/>
        <w:jc w:val="center"/>
        <w:tblBorders>
          <w:top w:color="215868" w:space="0" w:sz="4" w:val="single"/>
          <w:left w:color="215868" w:space="0" w:sz="4" w:val="single"/>
          <w:bottom w:color="215868" w:space="0" w:sz="4" w:val="single"/>
          <w:right w:color="215868" w:space="0" w:sz="4" w:val="single"/>
          <w:insideH w:color="215868" w:space="0" w:sz="4" w:val="single"/>
          <w:insideV w:color="215868" w:space="0" w:sz="4" w:val="single"/>
        </w:tblBorders>
        <w:tblLayout w:type="fixed"/>
        <w:tblLook w:val="0400"/>
      </w:tblPr>
      <w:tblGrid>
        <w:gridCol w:w="1701"/>
        <w:gridCol w:w="7371"/>
        <w:tblGridChange w:id="0">
          <w:tblGrid>
            <w:gridCol w:w="1701"/>
            <w:gridCol w:w="7371"/>
          </w:tblGrid>
        </w:tblGridChange>
      </w:tblGrid>
      <w:tr>
        <w:trPr>
          <w:cantSplit w:val="0"/>
          <w:tblHeader w:val="0"/>
        </w:trPr>
        <w:tc>
          <w:tcPr>
            <w:tcBorders>
              <w:top w:color="095778" w:space="0" w:sz="8" w:val="single"/>
              <w:bottom w:color="095778" w:space="0" w:sz="8" w:val="single"/>
              <w:right w:color="000000" w:space="0" w:sz="0" w:val="nil"/>
            </w:tcBorders>
            <w:shd w:fill="095778" w:val="clear"/>
            <w:vAlign w:val="center"/>
          </w:tcPr>
          <w:p w:rsidR="00000000" w:rsidDel="00000000" w:rsidP="00000000" w:rsidRDefault="00000000" w:rsidRPr="00000000" w14:paraId="00000018">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Date</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19">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bottom w:color="095778" w:space="0" w:sz="8" w:val="single"/>
              <w:right w:color="000000" w:space="0" w:sz="0" w:val="nil"/>
            </w:tcBorders>
            <w:shd w:fill="095778" w:val="clear"/>
            <w:vAlign w:val="center"/>
          </w:tcPr>
          <w:p w:rsidR="00000000" w:rsidDel="00000000" w:rsidP="00000000" w:rsidRDefault="00000000" w:rsidRPr="00000000" w14:paraId="0000001A">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Place</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1B">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bottom w:color="095778" w:space="0" w:sz="8" w:val="single"/>
              <w:right w:color="000000" w:space="0" w:sz="0" w:val="nil"/>
            </w:tcBorders>
            <w:shd w:fill="095778" w:val="clear"/>
            <w:vAlign w:val="center"/>
          </w:tcPr>
          <w:p w:rsidR="00000000" w:rsidDel="00000000" w:rsidP="00000000" w:rsidRDefault="00000000" w:rsidRPr="00000000" w14:paraId="0000001C">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Author </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1D">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bottom w:color="095778" w:space="0" w:sz="8" w:val="single"/>
              <w:right w:color="000000" w:space="0" w:sz="0" w:val="nil"/>
            </w:tcBorders>
            <w:shd w:fill="095778" w:val="clear"/>
            <w:vAlign w:val="center"/>
          </w:tcPr>
          <w:p w:rsidR="00000000" w:rsidDel="00000000" w:rsidP="00000000" w:rsidRDefault="00000000" w:rsidRPr="00000000" w14:paraId="0000001E">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Institution</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1F">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bl>
    <w:p w:rsidR="00000000" w:rsidDel="00000000" w:rsidP="00000000" w:rsidRDefault="00000000" w:rsidRPr="00000000" w14:paraId="00000020">
      <w:pPr>
        <w:rPr>
          <w:rFonts w:ascii="Play" w:cs="Play" w:eastAsia="Play" w:hAnsi="Play"/>
          <w:sz w:val="32"/>
          <w:szCs w:val="32"/>
        </w:rPr>
      </w:pPr>
      <w:r w:rsidDel="00000000" w:rsidR="00000000" w:rsidRPr="00000000">
        <w:rPr>
          <w:rtl w:val="0"/>
        </w:rPr>
      </w:r>
    </w:p>
    <w:tbl>
      <w:tblPr>
        <w:tblStyle w:val="Table2"/>
        <w:tblW w:w="9071.0" w:type="dxa"/>
        <w:jc w:val="center"/>
        <w:tblBorders>
          <w:top w:color="215868" w:space="0" w:sz="4" w:val="single"/>
          <w:left w:color="215868" w:space="0" w:sz="4" w:val="single"/>
          <w:bottom w:color="215868" w:space="0" w:sz="4" w:val="single"/>
          <w:right w:color="215868" w:space="0" w:sz="4" w:val="single"/>
          <w:insideH w:color="215868" w:space="0" w:sz="4" w:val="single"/>
          <w:insideV w:color="215868" w:space="0" w:sz="4" w:val="single"/>
        </w:tblBorders>
        <w:tblLayout w:type="fixed"/>
        <w:tblLook w:val="0400"/>
      </w:tblPr>
      <w:tblGrid>
        <w:gridCol w:w="2407"/>
        <w:gridCol w:w="2696"/>
        <w:gridCol w:w="3968"/>
        <w:tblGridChange w:id="0">
          <w:tblGrid>
            <w:gridCol w:w="2407"/>
            <w:gridCol w:w="2696"/>
            <w:gridCol w:w="3968"/>
          </w:tblGrid>
        </w:tblGridChange>
      </w:tblGrid>
      <w:tr>
        <w:trPr>
          <w:cantSplit w:val="0"/>
          <w:tblHeader w:val="0"/>
        </w:trPr>
        <w:tc>
          <w:tcPr>
            <w:gridSpan w:val="3"/>
            <w:tcBorders>
              <w:top w:color="000000" w:space="0" w:sz="0" w:val="nil"/>
              <w:left w:color="000000" w:space="0" w:sz="0" w:val="nil"/>
              <w:bottom w:color="095778" w:space="0" w:sz="8" w:val="single"/>
              <w:right w:color="000000" w:space="0" w:sz="0" w:val="nil"/>
            </w:tcBorders>
            <w:vAlign w:val="center"/>
          </w:tcPr>
          <w:p w:rsidR="00000000" w:rsidDel="00000000" w:rsidP="00000000" w:rsidRDefault="00000000" w:rsidRPr="00000000" w14:paraId="00000021">
            <w:pPr>
              <w:pStyle w:val="Heading1"/>
              <w:rPr>
                <w:rFonts w:ascii="Calibri" w:cs="Calibri" w:eastAsia="Calibri" w:hAnsi="Calibri"/>
                <w:i w:val="1"/>
                <w:iCs w:val="1"/>
                <w:color w:val="000000"/>
              </w:rPr>
            </w:pPr>
            <w:r w:rsidDel="00000000" w:rsidR="00000000" w:rsidRPr="00000000">
              <w:rPr>
                <w:rtl w:val="0"/>
              </w:rPr>
              <w:t xml:space="preserve">Communication activity description</w:t>
            </w:r>
            <w:r w:rsidDel="00000000" w:rsidR="00000000" w:rsidRPr="00000000">
              <w:rPr>
                <w:rtl w:val="0"/>
              </w:rPr>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24">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Communication activity name</w:t>
            </w:r>
          </w:p>
        </w:tc>
        <w:tc>
          <w:tcPr>
            <w:gridSpan w:val="2"/>
            <w:tcBorders>
              <w:top w:color="095778" w:space="0" w:sz="8" w:val="single"/>
              <w:left w:color="000000" w:space="0" w:sz="0" w:val="nil"/>
              <w:bottom w:color="000000" w:space="0" w:sz="0" w:val="nil"/>
              <w:right w:color="000000" w:space="0" w:sz="0" w:val="nil"/>
            </w:tcBorders>
            <w:vAlign w:val="center"/>
          </w:tcPr>
          <w:p w:rsidR="00000000" w:rsidDel="00000000" w:rsidP="00000000" w:rsidRDefault="00000000" w:rsidRPr="00000000" w14:paraId="00000025">
            <w:pPr>
              <w:spacing w:after="40" w:before="40" w:lineRule="auto"/>
              <w:rPr>
                <w:rFonts w:ascii="Anek Odia" w:cs="Anek Odia" w:eastAsia="Anek Odia" w:hAnsi="Anek Odia"/>
              </w:rPr>
            </w:pPr>
            <w:r w:rsidDel="00000000" w:rsidR="00000000" w:rsidRPr="00000000">
              <w:rPr>
                <w:rtl w:val="0"/>
              </w:rPr>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27">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Who? Target audience (Please select only one option)</w:t>
            </w:r>
          </w:p>
        </w:tc>
        <w:tc>
          <w:tcPr>
            <w:tcBorders>
              <w:top w:color="095778" w:space="0" w:sz="8" w:val="single"/>
              <w:left w:color="000000" w:space="0" w:sz="0" w:val="nil"/>
              <w:bottom w:color="095778" w:space="0" w:sz="8" w:val="single"/>
              <w:right w:color="095778" w:space="0" w:sz="8" w:val="single"/>
            </w:tcBorders>
            <w:vAlign w:val="center"/>
          </w:tcPr>
          <w:p w:rsidR="00000000" w:rsidDel="00000000" w:rsidP="00000000" w:rsidRDefault="00000000" w:rsidRPr="00000000" w14:paraId="00000028">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Industry, business partners</w:t>
            </w:r>
          </w:p>
          <w:p w:rsidR="00000000" w:rsidDel="00000000" w:rsidP="00000000" w:rsidRDefault="00000000" w:rsidRPr="00000000" w14:paraId="00000029">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Innovators</w:t>
            </w:r>
          </w:p>
          <w:p w:rsidR="00000000" w:rsidDel="00000000" w:rsidP="00000000" w:rsidRDefault="00000000" w:rsidRPr="00000000" w14:paraId="0000002A">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Investors</w:t>
            </w:r>
          </w:p>
          <w:p w:rsidR="00000000" w:rsidDel="00000000" w:rsidP="00000000" w:rsidRDefault="00000000" w:rsidRPr="00000000" w14:paraId="0000002B">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EU institutions</w:t>
            </w:r>
          </w:p>
          <w:p w:rsidR="00000000" w:rsidDel="00000000" w:rsidP="00000000" w:rsidRDefault="00000000" w:rsidRPr="00000000" w14:paraId="0000002C">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National authorities</w:t>
            </w:r>
          </w:p>
          <w:p w:rsidR="00000000" w:rsidDel="00000000" w:rsidP="00000000" w:rsidRDefault="00000000" w:rsidRPr="00000000" w14:paraId="0000002D">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Regional authorities</w:t>
            </w:r>
          </w:p>
        </w:tc>
        <w:tc>
          <w:tcPr>
            <w:tcBorders>
              <w:top w:color="095778" w:space="0" w:sz="8" w:val="single"/>
              <w:left w:color="095778" w:space="0" w:sz="8" w:val="single"/>
              <w:bottom w:color="095778" w:space="0" w:sz="8" w:val="single"/>
              <w:right w:color="000000" w:space="0" w:sz="0" w:val="nil"/>
            </w:tcBorders>
            <w:vAlign w:val="center"/>
          </w:tcPr>
          <w:p w:rsidR="00000000" w:rsidDel="00000000" w:rsidP="00000000" w:rsidRDefault="00000000" w:rsidRPr="00000000" w14:paraId="0000002E">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Local authorities</w:t>
            </w:r>
          </w:p>
          <w:p w:rsidR="00000000" w:rsidDel="00000000" w:rsidP="00000000" w:rsidRDefault="00000000" w:rsidRPr="00000000" w14:paraId="0000002F">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Civil society</w:t>
            </w:r>
          </w:p>
          <w:p w:rsidR="00000000" w:rsidDel="00000000" w:rsidP="00000000" w:rsidRDefault="00000000" w:rsidRPr="00000000" w14:paraId="00000030">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Citizens</w:t>
            </w:r>
          </w:p>
          <w:p w:rsidR="00000000" w:rsidDel="00000000" w:rsidP="00000000" w:rsidRDefault="00000000" w:rsidRPr="00000000" w14:paraId="00000031">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Research communities</w:t>
            </w:r>
          </w:p>
          <w:p w:rsidR="00000000" w:rsidDel="00000000" w:rsidP="00000000" w:rsidRDefault="00000000" w:rsidRPr="00000000" w14:paraId="00000032">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Specific user communities (if applicable)</w:t>
            </w:r>
          </w:p>
          <w:p w:rsidR="00000000" w:rsidDel="00000000" w:rsidP="00000000" w:rsidRDefault="00000000" w:rsidRPr="00000000" w14:paraId="00000033">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International organisation (UN body, OECD,    etc.)</w:t>
            </w:r>
          </w:p>
        </w:tc>
      </w:tr>
      <w:tr>
        <w:trPr>
          <w:cantSplit w:val="0"/>
          <w:tblHeader w:val="0"/>
        </w:trPr>
        <w:tc>
          <w:tcPr>
            <w:tcBorders>
              <w:top w:color="095778" w:space="0" w:sz="8" w:val="single"/>
              <w:left w:color="000000" w:space="0" w:sz="0" w:val="nil"/>
              <w:bottom w:color="000000" w:space="0" w:sz="0" w:val="nil"/>
              <w:right w:color="000000" w:space="0" w:sz="0" w:val="nil"/>
            </w:tcBorders>
            <w:shd w:fill="095778" w:val="clear"/>
            <w:vAlign w:val="center"/>
          </w:tcPr>
          <w:p w:rsidR="00000000" w:rsidDel="00000000" w:rsidP="00000000" w:rsidRDefault="00000000" w:rsidRPr="00000000" w14:paraId="00000034">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How? Communication channel</w:t>
            </w:r>
          </w:p>
          <w:p w:rsidR="00000000" w:rsidDel="00000000" w:rsidP="00000000" w:rsidRDefault="00000000" w:rsidRPr="00000000" w14:paraId="00000035">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(Please select only one option)</w:t>
            </w:r>
          </w:p>
        </w:tc>
        <w:tc>
          <w:tcPr>
            <w:tcBorders>
              <w:top w:color="095778" w:space="0" w:sz="8" w:val="single"/>
              <w:left w:color="000000" w:space="0" w:sz="0" w:val="nil"/>
              <w:bottom w:color="095778" w:space="0" w:sz="8" w:val="single"/>
              <w:right w:color="095778" w:space="0" w:sz="8" w:val="single"/>
            </w:tcBorders>
            <w:vAlign w:val="center"/>
          </w:tcPr>
          <w:p w:rsidR="00000000" w:rsidDel="00000000" w:rsidP="00000000" w:rsidRDefault="00000000" w:rsidRPr="00000000" w14:paraId="00000036">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Event (conference, meeting, workshop, internet debate, round table, discussion, etc.)</w:t>
            </w:r>
          </w:p>
          <w:p w:rsidR="00000000" w:rsidDel="00000000" w:rsidP="00000000" w:rsidRDefault="00000000" w:rsidRPr="00000000" w14:paraId="00000037">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Exhibition</w:t>
            </w:r>
          </w:p>
          <w:p w:rsidR="00000000" w:rsidDel="00000000" w:rsidP="00000000" w:rsidRDefault="00000000" w:rsidRPr="00000000" w14:paraId="00000038">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Interview</w:t>
            </w:r>
          </w:p>
          <w:p w:rsidR="00000000" w:rsidDel="00000000" w:rsidP="00000000" w:rsidRDefault="00000000" w:rsidRPr="00000000" w14:paraId="00000039">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Media article</w:t>
            </w:r>
          </w:p>
          <w:p w:rsidR="00000000" w:rsidDel="00000000" w:rsidP="00000000" w:rsidRDefault="00000000" w:rsidRPr="00000000" w14:paraId="0000003A">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Newsletter</w:t>
            </w:r>
          </w:p>
          <w:p w:rsidR="00000000" w:rsidDel="00000000" w:rsidP="00000000" w:rsidRDefault="00000000" w:rsidRPr="00000000" w14:paraId="0000003B">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Other</w:t>
            </w:r>
          </w:p>
        </w:tc>
        <w:tc>
          <w:tcPr>
            <w:tcBorders>
              <w:top w:color="095778" w:space="0" w:sz="8" w:val="single"/>
              <w:left w:color="095778" w:space="0" w:sz="8" w:val="single"/>
              <w:bottom w:color="095778" w:space="0" w:sz="8" w:val="single"/>
              <w:right w:color="000000" w:space="0" w:sz="0" w:val="nil"/>
            </w:tcBorders>
            <w:vAlign w:val="center"/>
          </w:tcPr>
          <w:p w:rsidR="00000000" w:rsidDel="00000000" w:rsidP="00000000" w:rsidRDefault="00000000" w:rsidRPr="00000000" w14:paraId="0000003C">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Press release</w:t>
            </w:r>
          </w:p>
          <w:p w:rsidR="00000000" w:rsidDel="00000000" w:rsidP="00000000" w:rsidRDefault="00000000" w:rsidRPr="00000000" w14:paraId="0000003D">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Print materials (brochure, leaflet, posters, stickers, banners, etc.)</w:t>
            </w:r>
          </w:p>
          <w:p w:rsidR="00000000" w:rsidDel="00000000" w:rsidP="00000000" w:rsidRDefault="00000000" w:rsidRPr="00000000" w14:paraId="0000003E">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Social media</w:t>
            </w:r>
          </w:p>
          <w:p w:rsidR="00000000" w:rsidDel="00000000" w:rsidP="00000000" w:rsidRDefault="00000000" w:rsidRPr="00000000" w14:paraId="0000003F">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TV/Radio campaign</w:t>
            </w:r>
          </w:p>
          <w:p w:rsidR="00000000" w:rsidDel="00000000" w:rsidP="00000000" w:rsidRDefault="00000000" w:rsidRPr="00000000" w14:paraId="00000040">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Video</w:t>
            </w:r>
          </w:p>
          <w:p w:rsidR="00000000" w:rsidDel="00000000" w:rsidP="00000000" w:rsidRDefault="00000000" w:rsidRPr="00000000" w14:paraId="00000041">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Website</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42">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Outcome (very specific Key performance indicators)</w:t>
            </w:r>
          </w:p>
        </w:tc>
        <w:tc>
          <w:tcPr>
            <w:gridSpan w:val="2"/>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43">
            <w:pPr>
              <w:spacing w:after="40" w:before="40" w:lineRule="auto"/>
              <w:rPr>
                <w:rFonts w:ascii="Anek Odia" w:cs="Anek Odia" w:eastAsia="Anek Odia" w:hAnsi="Anek Odia"/>
              </w:rPr>
            </w:pPr>
            <w:r w:rsidDel="00000000" w:rsidR="00000000" w:rsidRPr="00000000">
              <w:rPr>
                <w:rtl w:val="0"/>
              </w:rPr>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45">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Status</w:t>
            </w:r>
          </w:p>
        </w:tc>
        <w:tc>
          <w:tcPr>
            <w:gridSpan w:val="2"/>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46">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Cancelled</w:t>
            </w:r>
          </w:p>
          <w:p w:rsidR="00000000" w:rsidDel="00000000" w:rsidP="00000000" w:rsidRDefault="00000000" w:rsidRPr="00000000" w14:paraId="00000047">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Delivered</w:t>
            </w:r>
          </w:p>
          <w:p w:rsidR="00000000" w:rsidDel="00000000" w:rsidP="00000000" w:rsidRDefault="00000000" w:rsidRPr="00000000" w14:paraId="00000048">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Ongoing</w:t>
            </w:r>
          </w:p>
          <w:p w:rsidR="00000000" w:rsidDel="00000000" w:rsidP="00000000" w:rsidRDefault="00000000" w:rsidRPr="00000000" w14:paraId="00000049">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 Postponed</w:t>
            </w:r>
          </w:p>
        </w:tc>
      </w:tr>
      <w:tr>
        <w:trPr>
          <w:cantSplit w:val="0"/>
          <w:tblHeader w:val="0"/>
        </w:trPr>
        <w:tc>
          <w:tcPr>
            <w:gridSpan w:val="3"/>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4B">
            <w:pPr>
              <w:spacing w:after="40" w:before="40" w:lineRule="auto"/>
              <w:rPr>
                <w:rFonts w:ascii="Calibri" w:cs="Calibri" w:eastAsia="Calibri" w:hAnsi="Calibri"/>
                <w:i w:val="1"/>
                <w:iCs w:val="1"/>
                <w:color w:val="ffffff"/>
                <w:sz w:val="24"/>
                <w:szCs w:val="24"/>
              </w:rPr>
            </w:pPr>
            <w:r w:rsidDel="00000000" w:rsidR="00000000" w:rsidRPr="00000000">
              <w:rPr>
                <w:rFonts w:ascii="Anek Odia" w:cs="Anek Odia" w:eastAsia="Anek Odia" w:hAnsi="Anek Odia"/>
                <w:color w:val="ffffff"/>
                <w:rtl w:val="0"/>
              </w:rPr>
              <w:t xml:space="preserve">Description of the communication activity:</w:t>
            </w:r>
            <w:r w:rsidDel="00000000" w:rsidR="00000000" w:rsidRPr="00000000">
              <w:rPr>
                <w:rFonts w:ascii="Calibri" w:cs="Calibri" w:eastAsia="Calibri" w:hAnsi="Calibri"/>
                <w:color w:val="ffffff"/>
                <w:sz w:val="24"/>
                <w:szCs w:val="24"/>
                <w:rtl w:val="0"/>
              </w:rPr>
              <w:t xml:space="preserve"> </w:t>
            </w:r>
            <w:r w:rsidDel="00000000" w:rsidR="00000000" w:rsidRPr="00000000">
              <w:rPr>
                <w:rtl w:val="0"/>
              </w:rPr>
            </w:r>
          </w:p>
        </w:tc>
      </w:tr>
      <w:tr>
        <w:trPr>
          <w:cantSplit w:val="0"/>
          <w:trHeight w:val="3507" w:hRule="atLeast"/>
          <w:tblHeader w:val="0"/>
        </w:trPr>
        <w:tc>
          <w:tcPr>
            <w:gridSpan w:val="3"/>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4E">
            <w:pPr>
              <w:spacing w:after="40" w:before="40" w:lineRule="auto"/>
              <w:rPr>
                <w:rFonts w:ascii="Calibri" w:cs="Calibri" w:eastAsia="Calibri" w:hAnsi="Calibri"/>
                <w:color w:val="404040"/>
              </w:rPr>
            </w:pPr>
            <w:r w:rsidDel="00000000" w:rsidR="00000000" w:rsidRPr="00000000">
              <w:rPr>
                <w:rtl w:val="0"/>
              </w:rPr>
            </w:r>
          </w:p>
          <w:p w:rsidR="00000000" w:rsidDel="00000000" w:rsidP="00000000" w:rsidRDefault="00000000" w:rsidRPr="00000000" w14:paraId="0000004F">
            <w:pPr>
              <w:spacing w:after="40" w:before="40" w:lineRule="auto"/>
              <w:rPr>
                <w:rFonts w:ascii="Calibri" w:cs="Calibri" w:eastAsia="Calibri" w:hAnsi="Calibri"/>
                <w:color w:val="404040"/>
              </w:rPr>
            </w:pPr>
            <w:r w:rsidDel="00000000" w:rsidR="00000000" w:rsidRPr="00000000">
              <w:rPr>
                <w:rtl w:val="0"/>
              </w:rPr>
            </w:r>
          </w:p>
          <w:p w:rsidR="00000000" w:rsidDel="00000000" w:rsidP="00000000" w:rsidRDefault="00000000" w:rsidRPr="00000000" w14:paraId="00000050">
            <w:pPr>
              <w:spacing w:after="40" w:before="40" w:lineRule="auto"/>
              <w:rPr>
                <w:rFonts w:ascii="Calibri" w:cs="Calibri" w:eastAsia="Calibri" w:hAnsi="Calibri"/>
                <w:color w:val="404040"/>
              </w:rPr>
            </w:pPr>
            <w:r w:rsidDel="00000000" w:rsidR="00000000" w:rsidRPr="00000000">
              <w:rPr>
                <w:rtl w:val="0"/>
              </w:rPr>
            </w:r>
          </w:p>
          <w:p w:rsidR="00000000" w:rsidDel="00000000" w:rsidP="00000000" w:rsidRDefault="00000000" w:rsidRPr="00000000" w14:paraId="00000051">
            <w:pPr>
              <w:spacing w:after="40" w:before="40" w:lineRule="auto"/>
              <w:rPr>
                <w:rFonts w:ascii="Calibri" w:cs="Calibri" w:eastAsia="Calibri" w:hAnsi="Calibri"/>
                <w:color w:val="404040"/>
              </w:rPr>
            </w:pPr>
            <w:r w:rsidDel="00000000" w:rsidR="00000000" w:rsidRPr="00000000">
              <w:rPr>
                <w:rtl w:val="0"/>
              </w:rPr>
            </w:r>
          </w:p>
        </w:tc>
      </w:tr>
    </w:tbl>
    <w:p w:rsidR="00000000" w:rsidDel="00000000" w:rsidP="00000000" w:rsidRDefault="00000000" w:rsidRPr="00000000" w14:paraId="00000054">
      <w:pPr>
        <w:rPr>
          <w:rFonts w:ascii="Play" w:cs="Play" w:eastAsia="Play" w:hAnsi="Play"/>
          <w:sz w:val="32"/>
          <w:szCs w:val="32"/>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sectPr>
      <w:headerReference r:id="rId8" w:type="default"/>
      <w:headerReference r:id="rId9" w:type="first"/>
      <w:footerReference r:id="rId10" w:type="default"/>
      <w:footerReference r:id="rId11" w:type="first"/>
      <w:pgSz w:h="16839" w:w="11907" w:orient="portrait"/>
      <w:pgMar w:bottom="1418" w:top="1418" w:left="1418" w:right="1418" w:header="720" w:footer="144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Aptos"/>
  <w:font w:name="Play">
    <w:embedRegular w:fontKey="{00000000-0000-0000-0000-000000000000}" r:id="rId1" w:subsetted="0"/>
    <w:embedBold w:fontKey="{00000000-0000-0000-0000-000000000000}" r:id="rId2" w:subsetted="0"/>
  </w:font>
  <w:font w:name="Anek Odia Light">
    <w:embedRegular w:fontKey="{00000000-0000-0000-0000-000000000000}" r:id="rId3" w:subsetted="0"/>
    <w:embedBold w:fontKey="{00000000-0000-0000-0000-000000000000}" r:id="rId4" w:subsetted="0"/>
  </w:font>
  <w:font w:name="Anek Odi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114300</wp:posOffset>
          </wp:positionV>
          <wp:extent cx="5759140" cy="800100"/>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59140" cy="800100"/>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tabs>
        <w:tab w:val="center" w:leader="none" w:pos="4819"/>
        <w:tab w:val="right" w:leader="none" w:pos="9638"/>
      </w:tabs>
      <w:spacing w:after="0" w:line="240" w:lineRule="auto"/>
      <w:ind w:left="-567" w:firstLine="0"/>
      <w:jc w:val="cente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-15712</wp:posOffset>
          </wp:positionH>
          <wp:positionV relativeFrom="paragraph">
            <wp:posOffset>142875</wp:posOffset>
          </wp:positionV>
          <wp:extent cx="5759140" cy="800100"/>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59140" cy="80010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3"/>
      <w:tblW w:w="9072.0" w:type="dxa"/>
      <w:jc w:val="center"/>
      <w:tblBorders>
        <w:top w:color="000000" w:space="0" w:sz="0" w:val="nil"/>
        <w:left w:color="000000" w:space="0" w:sz="0" w:val="nil"/>
        <w:bottom w:color="c04239" w:space="0" w:sz="8" w:val="single"/>
        <w:right w:color="000000" w:space="0" w:sz="0" w:val="nil"/>
        <w:insideH w:color="000000" w:space="0" w:sz="0" w:val="nil"/>
        <w:insideV w:color="000000" w:space="0" w:sz="0" w:val="nil"/>
      </w:tblBorders>
      <w:tblLayout w:type="fixed"/>
      <w:tblLook w:val="0400"/>
    </w:tblPr>
    <w:tblGrid>
      <w:gridCol w:w="4536"/>
      <w:gridCol w:w="4536"/>
      <w:tblGridChange w:id="0">
        <w:tblGrid>
          <w:gridCol w:w="4536"/>
          <w:gridCol w:w="4536"/>
        </w:tblGrid>
      </w:tblGridChange>
    </w:tblGrid>
    <w:tr>
      <w:trPr>
        <w:cantSplit w:val="0"/>
        <w:tblHeader w:val="0"/>
      </w:trPr>
      <w:tc>
        <w:tcPr>
          <w:vAlign w:val="center"/>
        </w:tcPr>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drawing>
              <wp:inline distB="0" distT="0" distL="0" distR="0">
                <wp:extent cx="1179539" cy="403297"/>
                <wp:effectExtent b="0" l="0" r="0" t="0"/>
                <wp:docPr id="5"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179539" cy="403297"/>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left" w:leader="none" w:pos="0"/>
              <w:tab w:val="right" w:leader="none" w:pos="8823"/>
            </w:tabs>
            <w:spacing w:after="0" w:before="360" w:line="240" w:lineRule="auto"/>
            <w:ind w:left="0" w:right="0" w:firstLine="0"/>
            <w:jc w:val="right"/>
            <w:rPr>
              <w:rFonts w:ascii="Anek Odia" w:cs="Anek Odia" w:eastAsia="Anek Odia" w:hAnsi="Anek Odia"/>
              <w:b w:val="0"/>
              <w:bCs w:val="0"/>
              <w:i w:val="0"/>
              <w:iCs w:val="0"/>
              <w:smallCaps w:val="0"/>
              <w:strike w:val="0"/>
              <w:color w:val="095778"/>
              <w:sz w:val="20"/>
              <w:szCs w:val="20"/>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Pr>
            <w:drawing>
              <wp:inline distB="0" distT="0" distL="0" distR="0">
                <wp:extent cx="1544038" cy="344914"/>
                <wp:effectExtent b="0" l="0" r="0" t="0"/>
                <wp:docPr id="4"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1544038" cy="344914"/>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Pr>
      <w:drawing>
        <wp:inline distB="0" distT="0" distL="0" distR="0">
          <wp:extent cx="2004060" cy="447675"/>
          <wp:effectExtent b="0" l="0" r="0" t="0"/>
          <wp:docPr id="6"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2004060" cy="44767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Anek Odia" w:cs="Anek Odia" w:eastAsia="Anek Odia" w:hAnsi="Anek Odia"/>
      <w:b w:val="1"/>
      <w:bCs w:val="1"/>
      <w:color w:val="0f4761"/>
      <w:sz w:val="40"/>
      <w:szCs w:val="40"/>
    </w:rPr>
  </w:style>
  <w:style w:type="paragraph" w:styleId="Heading2">
    <w:name w:val="heading 2"/>
    <w:basedOn w:val="Normal"/>
    <w:next w:val="Normal"/>
    <w:pPr>
      <w:keepNext w:val="1"/>
      <w:keepLines w:val="1"/>
      <w:spacing w:after="80" w:before="160" w:lineRule="auto"/>
      <w:ind w:left="990" w:hanging="450"/>
    </w:pPr>
    <w:rPr>
      <w:rFonts w:ascii="Play" w:cs="Play" w:eastAsia="Play" w:hAnsi="Play"/>
      <w:color w:val="0f4761"/>
      <w:sz w:val="32"/>
      <w:szCs w:val="32"/>
    </w:rPr>
  </w:style>
  <w:style w:type="paragraph" w:styleId="Heading3">
    <w:name w:val="heading 3"/>
    <w:basedOn w:val="Normal"/>
    <w:next w:val="Normal"/>
    <w:pPr>
      <w:keepNext w:val="1"/>
      <w:keepLines w:val="1"/>
      <w:tabs>
        <w:tab w:val="left" w:leader="none" w:pos="2070"/>
      </w:tabs>
      <w:spacing w:after="80" w:before="160" w:lineRule="auto"/>
      <w:ind w:left="990" w:hanging="450"/>
    </w:pPr>
    <w:rPr>
      <w:rFonts w:ascii="Play" w:cs="Play" w:eastAsia="Play" w:hAnsi="Play"/>
      <w:color w:val="0f4761"/>
      <w:sz w:val="32"/>
      <w:szCs w:val="32"/>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rPr>
      <w:sz w:val="22"/>
      <w:szCs w:val="22"/>
    </w:rPr>
    <w:tblPr>
      <w:tblStyleRowBandSize w:val="1"/>
      <w:tblStyleColBandSize w:val="1"/>
      <w:tblCellMar>
        <w:top w:w="0.0" w:type="dxa"/>
        <w:left w:w="0.0" w:type="dxa"/>
        <w:bottom w:w="57.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AnekOdiaLight-regular.ttf"/><Relationship Id="rId4" Type="http://schemas.openxmlformats.org/officeDocument/2006/relationships/font" Target="fonts/AnekOdiaLight-bold.ttf"/><Relationship Id="rId5" Type="http://schemas.openxmlformats.org/officeDocument/2006/relationships/font" Target="fonts/AnekOdia-regular.ttf"/><Relationship Id="rId6" Type="http://schemas.openxmlformats.org/officeDocument/2006/relationships/font" Target="fonts/AnekOdia-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dR8i/DprFvxabpjHf0honIIuVg==">CgMxLjA4AHIhMVNMcFhwQ1JBNjRkczFBak5YemdScjdfTEV4Z0RfNk5l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